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50" w:right="-30" w:firstLine="720"/>
        <w:jc w:val="center"/>
        <w:spacing w:after="0" w:afterAutospacing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График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проведения проверочны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х мероприятий по приему заявлений граждан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на предоставление 2 государственных услуг: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(запись в школу),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</w:r>
      <w:r/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(запись в дошкольную организацию)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</w:r>
      <w:r/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Бай-Тайгинского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Мэрия города Кызыла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18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Барун-Хемчикского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Тандинского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19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Дзун-Хемчикского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г. Ак-Довурак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20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Каа-Хемского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Эрзинского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21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Кызылского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Чаа-Хольского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22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662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Монгун-Тайгинского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Улуг-Хемского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010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Овюрского кожууна,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Тоджинского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Пий-Хемского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Тес-Хемского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Сут-Хольского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Администрация Тере-Хольского кожууна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sz w:val="28"/>
                <w:szCs w:val="2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 марта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2024-03-11T08:49:49Z</dcterms:modified>
</cp:coreProperties>
</file>